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eclaire-Accent5"/>
        <w:tblW w:w="1461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620"/>
      </w:tblPr>
      <w:tblGrid>
        <w:gridCol w:w="6487"/>
        <w:gridCol w:w="8125"/>
      </w:tblGrid>
      <w:tr w:rsidR="008E41E8" w:rsidTr="002E4CB1">
        <w:trPr>
          <w:cnfStyle w:val="100000000000"/>
          <w:trHeight w:val="766"/>
        </w:trPr>
        <w:tc>
          <w:tcPr>
            <w:tcW w:w="14612" w:type="dxa"/>
            <w:gridSpan w:val="2"/>
            <w:shd w:val="clear" w:color="auto" w:fill="D98DC9"/>
          </w:tcPr>
          <w:p w:rsidR="000728A8" w:rsidRPr="000728A8" w:rsidRDefault="00C779EF" w:rsidP="000728A8">
            <w:pPr>
              <w:jc w:val="center"/>
            </w:pPr>
            <w:r>
              <w:t>BTP PATRON COT</w:t>
            </w:r>
            <w:r w:rsidR="00F406D2">
              <w:t>IER</w:t>
            </w:r>
          </w:p>
          <w:p w:rsidR="008E41E8" w:rsidRDefault="008E41E8" w:rsidP="000728A8">
            <w:pPr>
              <w:jc w:val="center"/>
            </w:pPr>
            <w:r>
              <w:t xml:space="preserve">Diplôme : </w:t>
            </w:r>
            <w:bookmarkStart w:id="0" w:name="_GoBack"/>
            <w:r w:rsidR="00481C26" w:rsidRPr="00481C26">
              <w:t>Brevet de technicien Professionnel</w:t>
            </w:r>
            <w:bookmarkEnd w:id="0"/>
            <w:r w:rsidR="00C37C54">
              <w:t>le</w:t>
            </w:r>
          </w:p>
        </w:tc>
      </w:tr>
      <w:tr w:rsidR="008E41E8" w:rsidTr="004A515A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Durée de la formation</w:t>
            </w:r>
          </w:p>
        </w:tc>
        <w:tc>
          <w:tcPr>
            <w:tcW w:w="8125" w:type="dxa"/>
          </w:tcPr>
          <w:p w:rsidR="008E41E8" w:rsidRPr="00333E36" w:rsidRDefault="007238C3" w:rsidP="007238C3">
            <w:pPr>
              <w:ind w:left="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7238C3">
              <w:rPr>
                <w:rFonts w:ascii="Calibri" w:eastAsia="Arial Unicode MS" w:hAnsi="Calibri" w:cs="Arial"/>
              </w:rPr>
              <w:t>La durée du programme est de</w:t>
            </w:r>
            <w:r w:rsidR="001348BB">
              <w:rPr>
                <w:rFonts w:ascii="Calibri" w:eastAsia="Arial Unicode MS" w:hAnsi="Calibri" w:cs="Arial"/>
              </w:rPr>
              <w:t xml:space="preserve"> 2 ans,</w:t>
            </w:r>
            <w:r w:rsidRPr="007238C3">
              <w:rPr>
                <w:rFonts w:ascii="Calibri" w:eastAsia="Arial Unicode MS" w:hAnsi="Calibri" w:cs="Arial"/>
              </w:rPr>
              <w:t xml:space="preserve"> 2030 heures parmi lesquelles 1175 heures sont consacrées à l’acquisition des compétences(13) liées directement à la maîtrise des tâches du métier et 855 heures à l’acquisition de compétences(14) plus larges.</w:t>
            </w:r>
          </w:p>
        </w:tc>
      </w:tr>
      <w:tr w:rsidR="008E41E8" w:rsidTr="00351B50">
        <w:trPr>
          <w:trHeight w:val="347"/>
        </w:trPr>
        <w:tc>
          <w:tcPr>
            <w:tcW w:w="6487" w:type="dxa"/>
          </w:tcPr>
          <w:p w:rsidR="008E41E8" w:rsidRPr="00091274" w:rsidRDefault="008E41E8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Conditions d’admission</w:t>
            </w:r>
          </w:p>
        </w:tc>
        <w:tc>
          <w:tcPr>
            <w:tcW w:w="8125" w:type="dxa"/>
          </w:tcPr>
          <w:p w:rsidR="008E41E8" w:rsidRDefault="008E41E8" w:rsidP="007071D7">
            <w:pPr>
              <w:ind w:left="0"/>
            </w:pPr>
            <w:r>
              <w:t xml:space="preserve">Niveau </w:t>
            </w:r>
            <w:r w:rsidR="00485A6B">
              <w:t>2</w:t>
            </w:r>
            <w:r w:rsidRPr="008508FD">
              <w:rPr>
                <w:vertAlign w:val="superscript"/>
              </w:rPr>
              <w:t>ème</w:t>
            </w:r>
            <w:r>
              <w:t xml:space="preserve"> année</w:t>
            </w:r>
            <w:r w:rsidR="00333E36">
              <w:t xml:space="preserve"> secondaire</w:t>
            </w:r>
            <w:r>
              <w:t xml:space="preserve"> </w:t>
            </w:r>
            <w:r w:rsidR="007071D7">
              <w:t>accomplie</w:t>
            </w:r>
            <w:r>
              <w:t xml:space="preserve"> </w:t>
            </w:r>
          </w:p>
        </w:tc>
      </w:tr>
      <w:tr w:rsidR="008E41E8" w:rsidTr="006E5F0C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6E5F0C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Descriptive de la formation</w:t>
            </w:r>
          </w:p>
        </w:tc>
        <w:tc>
          <w:tcPr>
            <w:tcW w:w="8125" w:type="dxa"/>
          </w:tcPr>
          <w:p w:rsidR="008E41E8" w:rsidRPr="002E4CB1" w:rsidRDefault="003509EA" w:rsidP="003509EA">
            <w:pPr>
              <w:ind w:left="0"/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Le patron côtier est un technicien</w:t>
            </w:r>
            <w:r w:rsidR="002E4CB1" w:rsidRPr="00914135">
              <w:rPr>
                <w:rFonts w:ascii="Calibri" w:eastAsia="Arial Unicode MS" w:hAnsi="Calibri" w:cs="Arial"/>
              </w:rPr>
              <w:t xml:space="preserve"> qualifié d</w:t>
            </w:r>
            <w:r>
              <w:rPr>
                <w:rFonts w:ascii="Calibri" w:eastAsia="Arial Unicode MS" w:hAnsi="Calibri" w:cs="Arial"/>
              </w:rPr>
              <w:t>e la pêche côtière</w:t>
            </w:r>
            <w:r w:rsidR="002E4CB1" w:rsidRPr="00914135">
              <w:rPr>
                <w:rFonts w:ascii="Calibri" w:eastAsia="Arial Unicode MS" w:hAnsi="Calibri" w:cs="Arial"/>
              </w:rPr>
              <w:t>, il est habilité à travailler à bord de tous types de bateaux de pêche</w:t>
            </w:r>
            <w:r>
              <w:rPr>
                <w:rFonts w:ascii="Calibri" w:eastAsia="Arial Unicode MS" w:hAnsi="Calibri" w:cs="Arial"/>
              </w:rPr>
              <w:t xml:space="preserve"> côtier</w:t>
            </w:r>
            <w:r w:rsidR="002E4CB1" w:rsidRPr="00914135">
              <w:rPr>
                <w:rFonts w:ascii="Calibri" w:eastAsia="Arial Unicode MS" w:hAnsi="Calibri" w:cs="Arial"/>
              </w:rPr>
              <w:t>. Il est appelé à réaliser les différentes tâches re</w:t>
            </w:r>
            <w:r>
              <w:rPr>
                <w:rFonts w:ascii="Calibri" w:eastAsia="Arial Unicode MS" w:hAnsi="Calibri" w:cs="Arial"/>
              </w:rPr>
              <w:t xml:space="preserve">latives aux diverses techniques et </w:t>
            </w:r>
            <w:r w:rsidRPr="00914135">
              <w:rPr>
                <w:rFonts w:ascii="Calibri" w:eastAsia="Arial Unicode MS" w:hAnsi="Calibri" w:cs="Arial"/>
              </w:rPr>
              <w:t>manœuvres</w:t>
            </w:r>
            <w:r w:rsidR="002E4CB1" w:rsidRPr="00914135">
              <w:rPr>
                <w:rFonts w:ascii="Calibri" w:eastAsia="Arial Unicode MS" w:hAnsi="Calibri" w:cs="Arial"/>
              </w:rPr>
              <w:t xml:space="preserve">de pêche et de manipuler les </w:t>
            </w:r>
            <w:r>
              <w:rPr>
                <w:rFonts w:ascii="Calibri" w:eastAsia="Arial Unicode MS" w:hAnsi="Calibri" w:cs="Arial"/>
              </w:rPr>
              <w:t xml:space="preserve">navires de pêche côtier. </w:t>
            </w:r>
            <w:r w:rsidR="002E4CB1" w:rsidRPr="00914135">
              <w:rPr>
                <w:rFonts w:ascii="Calibri" w:eastAsia="Arial Unicode MS" w:hAnsi="Calibri" w:cs="Arial"/>
              </w:rPr>
              <w:t xml:space="preserve">Il est aussi en mesure d'entretenir le bateau, d'effectuer les réparations mineures des engins de pêche et de réaliser les travaux auxiliaires relatives aux manœuvres du navire de pêche. </w:t>
            </w:r>
          </w:p>
        </w:tc>
      </w:tr>
      <w:tr w:rsidR="008E41E8" w:rsidTr="002E4CB1">
        <w:trPr>
          <w:trHeight w:val="439"/>
        </w:trPr>
        <w:tc>
          <w:tcPr>
            <w:tcW w:w="6487" w:type="dxa"/>
          </w:tcPr>
          <w:p w:rsidR="008E41E8" w:rsidRPr="00091274" w:rsidRDefault="008E41E8" w:rsidP="002E4CB1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Métier exercé</w:t>
            </w:r>
          </w:p>
        </w:tc>
        <w:tc>
          <w:tcPr>
            <w:tcW w:w="8125" w:type="dxa"/>
          </w:tcPr>
          <w:p w:rsidR="008E41E8" w:rsidRDefault="003509EA" w:rsidP="00A425A7">
            <w:pPr>
              <w:ind w:left="0"/>
            </w:pPr>
            <w:r>
              <w:rPr>
                <w:rFonts w:ascii="Calibri" w:eastAsia="Arial Unicode MS" w:hAnsi="Calibri" w:cs="Arial"/>
              </w:rPr>
              <w:t>Patron côtier</w:t>
            </w:r>
            <w:r w:rsidR="008E41E8">
              <w:rPr>
                <w:rFonts w:ascii="Calibri" w:eastAsia="Arial Unicode MS" w:hAnsi="Calibri" w:cs="Arial"/>
              </w:rPr>
              <w:t xml:space="preserve"> qualifié </w:t>
            </w:r>
          </w:p>
        </w:tc>
      </w:tr>
      <w:tr w:rsidR="008E41E8" w:rsidTr="006E5F0C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6E5F0C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Les compétences requis</w:t>
            </w:r>
          </w:p>
        </w:tc>
        <w:tc>
          <w:tcPr>
            <w:tcW w:w="8125" w:type="dxa"/>
          </w:tcPr>
          <w:p w:rsid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2E4CB1">
              <w:t xml:space="preserve">Participer à la préparation de la marrée </w:t>
            </w:r>
          </w:p>
          <w:p w:rsid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Appliquer les technologies spéciales à la profession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Appliquer les notions relatives aux techniques et engins de pêche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Manœuvrer un navire de pêche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Manœuvrer les engins de pêche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Assurer la pêche aux engins fixes et mobiles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Gérer les situations critiques de navigation et de pêche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Surveiller les activités d’équipage  </w:t>
            </w:r>
          </w:p>
          <w:p w:rsidR="00E06285" w:rsidRPr="00E06285" w:rsidRDefault="002E4CB1" w:rsidP="00E06285">
            <w:pPr>
              <w:pStyle w:val="Paragraphedeliste"/>
              <w:numPr>
                <w:ilvl w:val="0"/>
                <w:numId w:val="1"/>
              </w:numPr>
            </w:pPr>
            <w:r w:rsidRPr="002E4CB1">
              <w:t> </w:t>
            </w:r>
            <w:r w:rsidR="00E06285" w:rsidRPr="00E06285">
              <w:t>Communiquerenmilieudetravail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Tenir un rapport des activités du navire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Se situer au regard de la gestion d'une entreprise de pêche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Utiliser des équipements et manipuler des outils et matériels de navigation et de pêche  </w:t>
            </w:r>
          </w:p>
          <w:p w:rsidR="00E06285" w:rsidRPr="00E06285" w:rsidRDefault="00E06285" w:rsidP="00E06285">
            <w:pPr>
              <w:pStyle w:val="Paragraphedeliste"/>
              <w:numPr>
                <w:ilvl w:val="0"/>
                <w:numId w:val="1"/>
              </w:numPr>
            </w:pPr>
            <w:r w:rsidRPr="00E06285">
              <w:t>Exploiter l’information scientifique. </w:t>
            </w:r>
          </w:p>
          <w:p w:rsidR="008E41E8" w:rsidRPr="006E5F0C" w:rsidRDefault="006E5F0C" w:rsidP="00E06285">
            <w:pPr>
              <w:pStyle w:val="Paragraphedeliste"/>
              <w:numPr>
                <w:ilvl w:val="0"/>
                <w:numId w:val="1"/>
              </w:numPr>
            </w:pPr>
            <w:r w:rsidRPr="006E5F0C">
              <w:t xml:space="preserve">Gérer l’entreprise de pêche. </w:t>
            </w:r>
            <w:r w:rsidR="002E4CB1" w:rsidRPr="006E5F0C">
              <w:rPr>
                <w:rFonts w:ascii="Times" w:hAnsi="Times" w:cs="Times"/>
                <w:color w:val="000000"/>
                <w:sz w:val="24"/>
                <w:szCs w:val="24"/>
              </w:rPr>
              <w:t> </w:t>
            </w:r>
          </w:p>
        </w:tc>
      </w:tr>
      <w:tr w:rsidR="008E41E8" w:rsidTr="004A515A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lastRenderedPageBreak/>
              <w:t>Enseignements généraux</w:t>
            </w:r>
          </w:p>
        </w:tc>
        <w:tc>
          <w:tcPr>
            <w:tcW w:w="8125" w:type="dxa"/>
          </w:tcPr>
          <w:p w:rsidR="00CC3E81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Maitrise des langues : français, anglais et arabe</w:t>
            </w:r>
          </w:p>
          <w:p w:rsidR="00CC3E81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R</w:t>
            </w:r>
            <w:r w:rsidRPr="00351B50">
              <w:t>espect des techniques d'opération l'application de la législation</w:t>
            </w:r>
          </w:p>
          <w:p w:rsidR="00CC3E81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R</w:t>
            </w:r>
            <w:r w:rsidRPr="00351B50">
              <w:t>espect des lois et des règlements sécurité personnelle et celle d'autrui </w:t>
            </w:r>
          </w:p>
          <w:p w:rsidR="00CC3E81" w:rsidRPr="0081704E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 xml:space="preserve">Gérer une </w:t>
            </w:r>
            <w:r w:rsidRPr="0081704E">
              <w:t xml:space="preserve">entreprise </w:t>
            </w:r>
          </w:p>
          <w:p w:rsidR="00CC3E81" w:rsidRPr="00351B50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Gérer la qualité</w:t>
            </w:r>
          </w:p>
          <w:p w:rsidR="00CC3E81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Education environnementale</w:t>
            </w:r>
          </w:p>
          <w:p w:rsidR="00CC3E81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Maitrise l'outil informatique</w:t>
            </w:r>
          </w:p>
          <w:p w:rsidR="008E41E8" w:rsidRDefault="00CC3E81" w:rsidP="00CC3E81">
            <w:pPr>
              <w:pStyle w:val="Paragraphedeliste"/>
              <w:numPr>
                <w:ilvl w:val="0"/>
                <w:numId w:val="1"/>
              </w:numPr>
            </w:pPr>
            <w:r>
              <w:t>Education physique</w:t>
            </w:r>
          </w:p>
        </w:tc>
      </w:tr>
      <w:tr w:rsidR="008E41E8" w:rsidTr="004A515A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 xml:space="preserve">Les établissements qui assurent cette formation </w:t>
            </w:r>
          </w:p>
        </w:tc>
        <w:tc>
          <w:tcPr>
            <w:tcW w:w="8125" w:type="dxa"/>
          </w:tcPr>
          <w:p w:rsidR="00351B50" w:rsidRDefault="00351B50" w:rsidP="00351B50">
            <w:pPr>
              <w:pStyle w:val="Paragraphedeliste"/>
              <w:numPr>
                <w:ilvl w:val="0"/>
                <w:numId w:val="1"/>
              </w:numPr>
            </w:pPr>
            <w:r>
              <w:t>Les Centres de formations Professionnelle de Pêche de:</w:t>
            </w:r>
          </w:p>
          <w:p w:rsidR="00351B50" w:rsidRDefault="00D20983" w:rsidP="00351B50">
            <w:pPr>
              <w:pStyle w:val="Paragraphedeliste"/>
              <w:numPr>
                <w:ilvl w:val="1"/>
                <w:numId w:val="1"/>
              </w:numPr>
            </w:pPr>
            <w:r>
              <w:t>Tabarka</w:t>
            </w:r>
          </w:p>
          <w:p w:rsidR="00D20983" w:rsidRDefault="00D20983" w:rsidP="00485A6B">
            <w:pPr>
              <w:pStyle w:val="Paragraphedeliste"/>
              <w:numPr>
                <w:ilvl w:val="1"/>
                <w:numId w:val="1"/>
              </w:numPr>
            </w:pPr>
            <w:proofErr w:type="spellStart"/>
            <w:r>
              <w:t>Ghar</w:t>
            </w:r>
            <w:proofErr w:type="spellEnd"/>
            <w:r w:rsidR="00485A6B">
              <w:t xml:space="preserve"> E</w:t>
            </w:r>
            <w:r>
              <w:t>l</w:t>
            </w:r>
            <w:r w:rsidR="00485A6B">
              <w:t xml:space="preserve"> </w:t>
            </w:r>
            <w:proofErr w:type="spellStart"/>
            <w:r w:rsidR="00485A6B">
              <w:t>M</w:t>
            </w:r>
            <w:r>
              <w:t>elh</w:t>
            </w:r>
            <w:proofErr w:type="spellEnd"/>
          </w:p>
          <w:p w:rsidR="008E41E8" w:rsidRDefault="00351B50" w:rsidP="00351B50">
            <w:pPr>
              <w:pStyle w:val="Paragraphedeliste"/>
              <w:numPr>
                <w:ilvl w:val="1"/>
                <w:numId w:val="1"/>
              </w:numPr>
            </w:pPr>
            <w:r>
              <w:t xml:space="preserve"> Mahdia</w:t>
            </w:r>
          </w:p>
          <w:p w:rsidR="00351B50" w:rsidRDefault="00351B50" w:rsidP="00351B50">
            <w:pPr>
              <w:pStyle w:val="Paragraphedeliste"/>
              <w:numPr>
                <w:ilvl w:val="1"/>
                <w:numId w:val="1"/>
              </w:numPr>
            </w:pPr>
            <w:proofErr w:type="spellStart"/>
            <w:r>
              <w:t>T</w:t>
            </w:r>
            <w:r w:rsidR="00485A6B">
              <w:t>e</w:t>
            </w:r>
            <w:r>
              <w:t>bo</w:t>
            </w:r>
            <w:r w:rsidR="00485A6B">
              <w:t>u</w:t>
            </w:r>
            <w:r>
              <w:t>lba</w:t>
            </w:r>
            <w:proofErr w:type="spellEnd"/>
          </w:p>
          <w:p w:rsidR="00351B50" w:rsidRDefault="00351B50" w:rsidP="00351B50">
            <w:pPr>
              <w:pStyle w:val="Paragraphedeliste"/>
              <w:numPr>
                <w:ilvl w:val="1"/>
                <w:numId w:val="1"/>
              </w:numPr>
            </w:pPr>
            <w:r>
              <w:t xml:space="preserve"> Gabes</w:t>
            </w:r>
          </w:p>
          <w:p w:rsidR="00351B50" w:rsidRDefault="00351B50" w:rsidP="00351B50">
            <w:pPr>
              <w:pStyle w:val="Paragraphedeliste"/>
              <w:numPr>
                <w:ilvl w:val="1"/>
                <w:numId w:val="1"/>
              </w:numPr>
            </w:pPr>
            <w:proofErr w:type="spellStart"/>
            <w:r>
              <w:t>Zarzis</w:t>
            </w:r>
            <w:proofErr w:type="spellEnd"/>
          </w:p>
        </w:tc>
      </w:tr>
      <w:tr w:rsidR="008E41E8" w:rsidTr="00D20983">
        <w:trPr>
          <w:trHeight w:val="725"/>
        </w:trPr>
        <w:tc>
          <w:tcPr>
            <w:tcW w:w="6487" w:type="dxa"/>
            <w:vAlign w:val="center"/>
          </w:tcPr>
          <w:p w:rsidR="008E41E8" w:rsidRPr="00091274" w:rsidRDefault="008E41E8" w:rsidP="004A515A">
            <w:pPr>
              <w:rPr>
                <w:b/>
                <w:bCs/>
              </w:rPr>
            </w:pPr>
            <w:r w:rsidRPr="00091274">
              <w:rPr>
                <w:b/>
                <w:bCs/>
              </w:rPr>
              <w:t>Date de démarrage de la formation</w:t>
            </w:r>
          </w:p>
        </w:tc>
        <w:tc>
          <w:tcPr>
            <w:tcW w:w="8125" w:type="dxa"/>
            <w:vAlign w:val="center"/>
          </w:tcPr>
          <w:p w:rsidR="008E41E8" w:rsidRDefault="008E41E8" w:rsidP="00D20983">
            <w:r>
              <w:t>Les mois de Septembre et de février de chaque année scolaire</w:t>
            </w:r>
          </w:p>
        </w:tc>
      </w:tr>
    </w:tbl>
    <w:p w:rsidR="00D41392" w:rsidRPr="00D41392" w:rsidRDefault="00D41392" w:rsidP="00D41392">
      <w:pPr>
        <w:bidi/>
      </w:pPr>
    </w:p>
    <w:sectPr w:rsidR="00D41392" w:rsidRPr="00D41392" w:rsidSect="008E41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17A5440"/>
    <w:multiLevelType w:val="hybridMultilevel"/>
    <w:tmpl w:val="713228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1E8"/>
    <w:rsid w:val="0004135A"/>
    <w:rsid w:val="000728A8"/>
    <w:rsid w:val="000F0316"/>
    <w:rsid w:val="001348BB"/>
    <w:rsid w:val="00151A32"/>
    <w:rsid w:val="0018651F"/>
    <w:rsid w:val="00192BC0"/>
    <w:rsid w:val="001B2FA6"/>
    <w:rsid w:val="00221F8D"/>
    <w:rsid w:val="002A1186"/>
    <w:rsid w:val="002E4CB1"/>
    <w:rsid w:val="00333E36"/>
    <w:rsid w:val="003509EA"/>
    <w:rsid w:val="00351B50"/>
    <w:rsid w:val="003B6ADE"/>
    <w:rsid w:val="00481C26"/>
    <w:rsid w:val="00485A6B"/>
    <w:rsid w:val="004A515A"/>
    <w:rsid w:val="006760B1"/>
    <w:rsid w:val="006E5F0C"/>
    <w:rsid w:val="007071D7"/>
    <w:rsid w:val="007238C3"/>
    <w:rsid w:val="007A7B3A"/>
    <w:rsid w:val="008E41E8"/>
    <w:rsid w:val="009E3BF0"/>
    <w:rsid w:val="00A425A7"/>
    <w:rsid w:val="00AD116C"/>
    <w:rsid w:val="00C21DDD"/>
    <w:rsid w:val="00C24FC5"/>
    <w:rsid w:val="00C359AF"/>
    <w:rsid w:val="00C37C54"/>
    <w:rsid w:val="00C6205B"/>
    <w:rsid w:val="00C779EF"/>
    <w:rsid w:val="00CC3E81"/>
    <w:rsid w:val="00D20983"/>
    <w:rsid w:val="00D41392"/>
    <w:rsid w:val="00DE6A6C"/>
    <w:rsid w:val="00E06285"/>
    <w:rsid w:val="00E22D8F"/>
    <w:rsid w:val="00F406D2"/>
    <w:rsid w:val="00F7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E8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8E41E8"/>
    <w:pPr>
      <w:spacing w:after="0" w:line="240" w:lineRule="auto"/>
      <w:ind w:left="72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8E41E8"/>
    <w:p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rsid w:val="00DE6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DE6A6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AVFA</dc:creator>
  <cp:lastModifiedBy>AVFA</cp:lastModifiedBy>
  <cp:revision>17</cp:revision>
  <dcterms:created xsi:type="dcterms:W3CDTF">2021-02-22T09:58:00Z</dcterms:created>
  <dcterms:modified xsi:type="dcterms:W3CDTF">2021-05-04T11:57:00Z</dcterms:modified>
</cp:coreProperties>
</file>